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42B6" w14:textId="35D9E479" w:rsidR="00802DCB" w:rsidRPr="00802DCB" w:rsidRDefault="00802DCB" w:rsidP="00802DCB">
      <w:pPr>
        <w:spacing w:after="0" w:line="240" w:lineRule="auto"/>
        <w:rPr>
          <w:rFonts w:ascii="Arial" w:hAnsi="Arial" w:cs="Arial"/>
          <w:b/>
          <w:bCs/>
          <w:sz w:val="24"/>
          <w:szCs w:val="24"/>
        </w:rPr>
      </w:pPr>
      <w:r w:rsidRPr="00802DCB">
        <w:rPr>
          <w:rFonts w:ascii="Arial" w:hAnsi="Arial" w:cs="Arial"/>
          <w:b/>
          <w:bCs/>
          <w:sz w:val="24"/>
          <w:szCs w:val="24"/>
        </w:rPr>
        <w:t>Annual Report 2025-26 - Complaints and Feedback</w:t>
      </w:r>
    </w:p>
    <w:p w14:paraId="12801996" w14:textId="4DCB563A" w:rsidR="00802DCB" w:rsidRPr="00802DCB" w:rsidRDefault="00802DCB" w:rsidP="00802DCB">
      <w:pPr>
        <w:spacing w:after="0" w:line="240" w:lineRule="auto"/>
        <w:rPr>
          <w:rFonts w:ascii="Arial" w:hAnsi="Arial" w:cs="Arial"/>
          <w:sz w:val="24"/>
          <w:szCs w:val="24"/>
        </w:rPr>
      </w:pPr>
      <w:r w:rsidRPr="00802DCB">
        <w:rPr>
          <w:rFonts w:ascii="Arial" w:hAnsi="Arial" w:cs="Arial"/>
          <w:sz w:val="24"/>
          <w:szCs w:val="24"/>
        </w:rPr>
        <w:t xml:space="preserve">Northern Ireland Hospice </w:t>
      </w:r>
      <w:r>
        <w:rPr>
          <w:rFonts w:ascii="Arial" w:hAnsi="Arial" w:cs="Arial"/>
          <w:sz w:val="24"/>
          <w:szCs w:val="24"/>
        </w:rPr>
        <w:t xml:space="preserve">(NIH) </w:t>
      </w:r>
      <w:r w:rsidRPr="00802DCB">
        <w:rPr>
          <w:rFonts w:ascii="Arial" w:hAnsi="Arial" w:cs="Arial"/>
          <w:sz w:val="24"/>
          <w:szCs w:val="24"/>
        </w:rPr>
        <w:t>welcomes feedback and complaints as an important source of learning and service improvement. Complaints provide insight into the experiences of service users, families, donors, customers and members of the public, and help inform improvements across both care and non</w:t>
      </w:r>
      <w:r w:rsidRPr="00802DCB">
        <w:rPr>
          <w:rFonts w:ascii="Arial" w:hAnsi="Arial" w:cs="Arial"/>
          <w:sz w:val="24"/>
          <w:szCs w:val="24"/>
        </w:rPr>
        <w:noBreakHyphen/>
        <w:t>care services.</w:t>
      </w:r>
    </w:p>
    <w:p w14:paraId="4AC83FC1" w14:textId="77777777" w:rsidR="00802DCB" w:rsidRDefault="00802DCB" w:rsidP="00802DCB">
      <w:pPr>
        <w:spacing w:after="0" w:line="240" w:lineRule="auto"/>
        <w:rPr>
          <w:rFonts w:ascii="Arial" w:hAnsi="Arial" w:cs="Arial"/>
          <w:b/>
          <w:bCs/>
          <w:sz w:val="24"/>
          <w:szCs w:val="24"/>
        </w:rPr>
      </w:pPr>
    </w:p>
    <w:p w14:paraId="57623E52" w14:textId="3E3678E2" w:rsidR="00802DCB" w:rsidRPr="00802DCB" w:rsidRDefault="00802DCB" w:rsidP="00802DCB">
      <w:pPr>
        <w:spacing w:after="0" w:line="240" w:lineRule="auto"/>
        <w:rPr>
          <w:rFonts w:ascii="Arial" w:hAnsi="Arial" w:cs="Arial"/>
          <w:b/>
          <w:bCs/>
          <w:sz w:val="24"/>
          <w:szCs w:val="24"/>
        </w:rPr>
      </w:pPr>
      <w:r w:rsidRPr="00802DCB">
        <w:rPr>
          <w:rFonts w:ascii="Arial" w:hAnsi="Arial" w:cs="Arial"/>
          <w:b/>
          <w:bCs/>
          <w:sz w:val="24"/>
          <w:szCs w:val="24"/>
        </w:rPr>
        <w:t>Reporting period and approach</w:t>
      </w:r>
    </w:p>
    <w:p w14:paraId="6EFDBDC8" w14:textId="5B281E27" w:rsidR="00802DCB" w:rsidRPr="00802DCB" w:rsidRDefault="00802DCB" w:rsidP="00802DCB">
      <w:pPr>
        <w:spacing w:after="0" w:line="240" w:lineRule="auto"/>
        <w:rPr>
          <w:rFonts w:ascii="Arial" w:hAnsi="Arial" w:cs="Arial"/>
          <w:sz w:val="24"/>
          <w:szCs w:val="24"/>
        </w:rPr>
      </w:pPr>
      <w:r w:rsidRPr="00802DCB">
        <w:rPr>
          <w:rFonts w:ascii="Arial" w:hAnsi="Arial" w:cs="Arial"/>
          <w:sz w:val="24"/>
          <w:szCs w:val="24"/>
        </w:rPr>
        <w:t xml:space="preserve">This Annual Report covers the period 1 April 2025 to 31 March 2026, during which </w:t>
      </w:r>
      <w:r>
        <w:rPr>
          <w:rFonts w:ascii="Arial" w:hAnsi="Arial" w:cs="Arial"/>
          <w:sz w:val="24"/>
          <w:szCs w:val="24"/>
        </w:rPr>
        <w:t>NIH</w:t>
      </w:r>
      <w:r w:rsidRPr="00802DCB">
        <w:rPr>
          <w:rFonts w:ascii="Arial" w:hAnsi="Arial" w:cs="Arial"/>
          <w:sz w:val="24"/>
          <w:szCs w:val="24"/>
        </w:rPr>
        <w:t xml:space="preserve"> transitioned to a revised Complaints Management Policy aligned with the Northern Ireland Public Services Ombudsman (NIPSO) Model Complaints Handling Procedure (MCHP), which came into effect on 1 January 2026.</w:t>
      </w:r>
    </w:p>
    <w:p w14:paraId="3E85E5B7" w14:textId="77777777" w:rsidR="00802DCB" w:rsidRPr="00802DCB" w:rsidRDefault="00802DCB" w:rsidP="00802DCB">
      <w:pPr>
        <w:spacing w:after="0" w:line="240" w:lineRule="auto"/>
        <w:rPr>
          <w:rFonts w:ascii="Arial" w:hAnsi="Arial" w:cs="Arial"/>
          <w:sz w:val="24"/>
          <w:szCs w:val="24"/>
        </w:rPr>
      </w:pPr>
    </w:p>
    <w:p w14:paraId="17669460" w14:textId="7F42BE27" w:rsidR="00802DCB" w:rsidRPr="00802DCB" w:rsidRDefault="00802DCB" w:rsidP="00802DCB">
      <w:pPr>
        <w:spacing w:after="0" w:line="240" w:lineRule="auto"/>
        <w:rPr>
          <w:rFonts w:ascii="Arial" w:hAnsi="Arial" w:cs="Arial"/>
          <w:sz w:val="24"/>
          <w:szCs w:val="24"/>
        </w:rPr>
      </w:pPr>
      <w:r w:rsidRPr="00802DCB">
        <w:rPr>
          <w:rFonts w:ascii="Arial" w:hAnsi="Arial" w:cs="Arial"/>
          <w:sz w:val="24"/>
          <w:szCs w:val="24"/>
        </w:rPr>
        <w:t>As a result, complaints data for this period is reported in two parts:</w:t>
      </w:r>
    </w:p>
    <w:p w14:paraId="5556DDF2" w14:textId="77777777" w:rsidR="00802DCB" w:rsidRPr="00802DCB" w:rsidRDefault="00802DCB" w:rsidP="00802DCB">
      <w:pPr>
        <w:numPr>
          <w:ilvl w:val="0"/>
          <w:numId w:val="1"/>
        </w:numPr>
        <w:spacing w:after="0" w:line="240" w:lineRule="auto"/>
        <w:rPr>
          <w:rFonts w:ascii="Arial" w:hAnsi="Arial" w:cs="Arial"/>
          <w:sz w:val="24"/>
          <w:szCs w:val="24"/>
        </w:rPr>
      </w:pPr>
      <w:r w:rsidRPr="00802DCB">
        <w:rPr>
          <w:rFonts w:ascii="Arial" w:hAnsi="Arial" w:cs="Arial"/>
          <w:sz w:val="24"/>
          <w:szCs w:val="24"/>
        </w:rPr>
        <w:t xml:space="preserve">1 April 2025 – 31 December 2025: complaints handled under the previous </w:t>
      </w:r>
      <w:proofErr w:type="gramStart"/>
      <w:r w:rsidRPr="00802DCB">
        <w:rPr>
          <w:rFonts w:ascii="Arial" w:hAnsi="Arial" w:cs="Arial"/>
          <w:sz w:val="24"/>
          <w:szCs w:val="24"/>
        </w:rPr>
        <w:t>complaints</w:t>
      </w:r>
      <w:proofErr w:type="gramEnd"/>
      <w:r w:rsidRPr="00802DCB">
        <w:rPr>
          <w:rFonts w:ascii="Arial" w:hAnsi="Arial" w:cs="Arial"/>
          <w:sz w:val="24"/>
          <w:szCs w:val="24"/>
        </w:rPr>
        <w:t xml:space="preserve"> framework</w:t>
      </w:r>
    </w:p>
    <w:p w14:paraId="008D7A2A" w14:textId="77777777" w:rsidR="00802DCB" w:rsidRPr="00802DCB" w:rsidRDefault="00802DCB" w:rsidP="00802DCB">
      <w:pPr>
        <w:numPr>
          <w:ilvl w:val="0"/>
          <w:numId w:val="1"/>
        </w:numPr>
        <w:spacing w:after="0" w:line="240" w:lineRule="auto"/>
        <w:rPr>
          <w:rFonts w:ascii="Arial" w:hAnsi="Arial" w:cs="Arial"/>
          <w:sz w:val="24"/>
          <w:szCs w:val="24"/>
        </w:rPr>
      </w:pPr>
      <w:r w:rsidRPr="00802DCB">
        <w:rPr>
          <w:rFonts w:ascii="Arial" w:hAnsi="Arial" w:cs="Arial"/>
          <w:sz w:val="24"/>
          <w:szCs w:val="24"/>
        </w:rPr>
        <w:t>1 January 2026 – 31 March 2026: complaints handled under the MCHP two</w:t>
      </w:r>
      <w:r w:rsidRPr="00802DCB">
        <w:rPr>
          <w:rFonts w:ascii="Arial" w:hAnsi="Arial" w:cs="Arial"/>
          <w:sz w:val="24"/>
          <w:szCs w:val="24"/>
        </w:rPr>
        <w:noBreakHyphen/>
        <w:t>stage model</w:t>
      </w:r>
    </w:p>
    <w:p w14:paraId="4E944A4A" w14:textId="31CA6796" w:rsidR="00802DCB" w:rsidRPr="00802DCB" w:rsidRDefault="00802DCB" w:rsidP="00802DCB">
      <w:pPr>
        <w:spacing w:after="0" w:line="240" w:lineRule="auto"/>
        <w:rPr>
          <w:rFonts w:ascii="Arial" w:hAnsi="Arial" w:cs="Arial"/>
          <w:sz w:val="24"/>
          <w:szCs w:val="24"/>
        </w:rPr>
      </w:pPr>
    </w:p>
    <w:p w14:paraId="29F2D918" w14:textId="77777777" w:rsidR="00802DCB" w:rsidRPr="00802DCB" w:rsidRDefault="00802DCB" w:rsidP="00802DCB">
      <w:pPr>
        <w:spacing w:after="0" w:line="240" w:lineRule="auto"/>
        <w:rPr>
          <w:rFonts w:ascii="Arial" w:hAnsi="Arial" w:cs="Arial"/>
          <w:b/>
          <w:bCs/>
          <w:sz w:val="24"/>
          <w:szCs w:val="24"/>
        </w:rPr>
      </w:pPr>
      <w:r w:rsidRPr="00802DCB">
        <w:rPr>
          <w:rFonts w:ascii="Arial" w:hAnsi="Arial" w:cs="Arial"/>
          <w:b/>
          <w:bCs/>
          <w:sz w:val="24"/>
          <w:szCs w:val="24"/>
        </w:rPr>
        <w:t>Complaints received: 1 April 2025 – 31 December 2025</w:t>
      </w:r>
    </w:p>
    <w:p w14:paraId="647F3559" w14:textId="32E7F4B1" w:rsidR="00802DCB" w:rsidRPr="00802DCB" w:rsidRDefault="00802DCB" w:rsidP="00802DCB">
      <w:pPr>
        <w:spacing w:after="0" w:line="240" w:lineRule="auto"/>
        <w:rPr>
          <w:rFonts w:ascii="Arial" w:hAnsi="Arial" w:cs="Arial"/>
          <w:sz w:val="24"/>
          <w:szCs w:val="24"/>
        </w:rPr>
      </w:pPr>
      <w:r w:rsidRPr="00802DCB">
        <w:rPr>
          <w:rFonts w:ascii="Arial" w:hAnsi="Arial" w:cs="Arial"/>
          <w:sz w:val="24"/>
          <w:szCs w:val="24"/>
        </w:rPr>
        <w:t xml:space="preserve">Between 1 April and 31 December 2025, </w:t>
      </w:r>
      <w:r>
        <w:rPr>
          <w:rFonts w:ascii="Arial" w:hAnsi="Arial" w:cs="Arial"/>
          <w:sz w:val="24"/>
          <w:szCs w:val="24"/>
        </w:rPr>
        <w:t>NIH</w:t>
      </w:r>
      <w:r w:rsidRPr="00802DCB">
        <w:rPr>
          <w:rFonts w:ascii="Arial" w:hAnsi="Arial" w:cs="Arial"/>
          <w:sz w:val="24"/>
          <w:szCs w:val="24"/>
        </w:rPr>
        <w:t xml:space="preserve"> received complaints that were managed and recorded under the previous </w:t>
      </w:r>
      <w:proofErr w:type="gramStart"/>
      <w:r w:rsidRPr="00802DCB">
        <w:rPr>
          <w:rFonts w:ascii="Arial" w:hAnsi="Arial" w:cs="Arial"/>
          <w:sz w:val="24"/>
          <w:szCs w:val="24"/>
        </w:rPr>
        <w:t>complaints</w:t>
      </w:r>
      <w:proofErr w:type="gramEnd"/>
      <w:r w:rsidRPr="00802DCB">
        <w:rPr>
          <w:rFonts w:ascii="Arial" w:hAnsi="Arial" w:cs="Arial"/>
          <w:sz w:val="24"/>
          <w:szCs w:val="24"/>
        </w:rPr>
        <w:t xml:space="preserve"> framework. During this period, complaints were categorised as formal or informal, depending on their complexity and whether they required a </w:t>
      </w:r>
      <w:r w:rsidR="00B131F4">
        <w:rPr>
          <w:rFonts w:ascii="Arial" w:hAnsi="Arial" w:cs="Arial"/>
          <w:sz w:val="24"/>
          <w:szCs w:val="24"/>
        </w:rPr>
        <w:t>comprehensive</w:t>
      </w:r>
      <w:r w:rsidRPr="00802DCB">
        <w:rPr>
          <w:rFonts w:ascii="Arial" w:hAnsi="Arial" w:cs="Arial"/>
          <w:sz w:val="24"/>
          <w:szCs w:val="24"/>
        </w:rPr>
        <w:t xml:space="preserve"> investigation.</w:t>
      </w:r>
    </w:p>
    <w:p w14:paraId="0FF10B28" w14:textId="77777777" w:rsidR="00802DCB" w:rsidRPr="00802DCB" w:rsidRDefault="00802DCB" w:rsidP="00802DCB">
      <w:pPr>
        <w:spacing w:after="0" w:line="240" w:lineRule="auto"/>
        <w:rPr>
          <w:rFonts w:ascii="Arial" w:hAnsi="Arial" w:cs="Arial"/>
          <w:sz w:val="24"/>
          <w:szCs w:val="24"/>
        </w:rPr>
      </w:pPr>
    </w:p>
    <w:p w14:paraId="34DE32CF" w14:textId="1EEF1581" w:rsidR="005B30BE" w:rsidRPr="005B30BE" w:rsidRDefault="005B30BE" w:rsidP="005B30BE">
      <w:pPr>
        <w:spacing w:after="0" w:line="240" w:lineRule="auto"/>
        <w:rPr>
          <w:rFonts w:ascii="Arial" w:hAnsi="Arial" w:cs="Arial"/>
          <w:sz w:val="24"/>
          <w:szCs w:val="24"/>
        </w:rPr>
      </w:pPr>
      <w:r w:rsidRPr="005B30BE">
        <w:rPr>
          <w:rFonts w:ascii="Arial" w:hAnsi="Arial" w:cs="Arial"/>
          <w:sz w:val="24"/>
          <w:szCs w:val="24"/>
        </w:rPr>
        <w:t>Between 1 April and 31 December 2025, NIH received twelve (12) complaints:</w:t>
      </w:r>
    </w:p>
    <w:p w14:paraId="4B4FFB67" w14:textId="77777777" w:rsidR="005B30BE" w:rsidRPr="005B30BE" w:rsidRDefault="005B30BE" w:rsidP="005B30BE">
      <w:pPr>
        <w:numPr>
          <w:ilvl w:val="0"/>
          <w:numId w:val="9"/>
        </w:numPr>
        <w:spacing w:after="0" w:line="240" w:lineRule="auto"/>
        <w:rPr>
          <w:rFonts w:ascii="Arial" w:hAnsi="Arial" w:cs="Arial"/>
          <w:sz w:val="24"/>
          <w:szCs w:val="24"/>
        </w:rPr>
      </w:pPr>
      <w:r w:rsidRPr="005B30BE">
        <w:rPr>
          <w:rFonts w:ascii="Arial" w:hAnsi="Arial" w:cs="Arial"/>
          <w:sz w:val="24"/>
          <w:szCs w:val="24"/>
        </w:rPr>
        <w:t>Formal complaints: 5</w:t>
      </w:r>
    </w:p>
    <w:p w14:paraId="566C84D8" w14:textId="77777777" w:rsidR="005B30BE" w:rsidRPr="005B30BE" w:rsidRDefault="005B30BE" w:rsidP="005B30BE">
      <w:pPr>
        <w:numPr>
          <w:ilvl w:val="0"/>
          <w:numId w:val="9"/>
        </w:numPr>
        <w:spacing w:after="0" w:line="240" w:lineRule="auto"/>
        <w:rPr>
          <w:rFonts w:ascii="Arial" w:hAnsi="Arial" w:cs="Arial"/>
          <w:sz w:val="24"/>
          <w:szCs w:val="24"/>
        </w:rPr>
      </w:pPr>
      <w:r w:rsidRPr="005B30BE">
        <w:rPr>
          <w:rFonts w:ascii="Arial" w:hAnsi="Arial" w:cs="Arial"/>
          <w:sz w:val="24"/>
          <w:szCs w:val="24"/>
        </w:rPr>
        <w:t>Informal complaints: 7</w:t>
      </w:r>
    </w:p>
    <w:p w14:paraId="2B505E24" w14:textId="77777777" w:rsidR="005B30BE" w:rsidRDefault="005B30BE" w:rsidP="005B30BE">
      <w:pPr>
        <w:spacing w:after="0" w:line="240" w:lineRule="auto"/>
        <w:rPr>
          <w:rFonts w:ascii="Arial" w:hAnsi="Arial" w:cs="Arial"/>
          <w:sz w:val="24"/>
          <w:szCs w:val="24"/>
        </w:rPr>
      </w:pPr>
    </w:p>
    <w:p w14:paraId="78E580BF" w14:textId="152B1F36" w:rsidR="00802DCB" w:rsidRPr="00802DCB" w:rsidRDefault="00802DCB" w:rsidP="00802DCB">
      <w:pPr>
        <w:spacing w:after="0" w:line="240" w:lineRule="auto"/>
        <w:rPr>
          <w:rFonts w:ascii="Arial" w:hAnsi="Arial" w:cs="Arial"/>
          <w:sz w:val="24"/>
          <w:szCs w:val="24"/>
        </w:rPr>
      </w:pPr>
      <w:r w:rsidRPr="00802DCB">
        <w:rPr>
          <w:rFonts w:ascii="Arial" w:hAnsi="Arial" w:cs="Arial"/>
          <w:sz w:val="24"/>
          <w:szCs w:val="24"/>
        </w:rPr>
        <w:t>Complaints during this period primarily related to:</w:t>
      </w:r>
    </w:p>
    <w:p w14:paraId="17892AC2" w14:textId="3C4B6915" w:rsidR="00802DCB" w:rsidRPr="00802DCB" w:rsidRDefault="004453A8" w:rsidP="00802DCB">
      <w:pPr>
        <w:numPr>
          <w:ilvl w:val="0"/>
          <w:numId w:val="6"/>
        </w:numPr>
        <w:spacing w:after="0" w:line="240" w:lineRule="auto"/>
        <w:rPr>
          <w:rFonts w:ascii="Arial" w:hAnsi="Arial" w:cs="Arial"/>
          <w:sz w:val="24"/>
          <w:szCs w:val="24"/>
        </w:rPr>
      </w:pPr>
      <w:r>
        <w:rPr>
          <w:rFonts w:ascii="Arial" w:hAnsi="Arial" w:cs="Arial"/>
          <w:sz w:val="24"/>
          <w:szCs w:val="24"/>
        </w:rPr>
        <w:t>C</w:t>
      </w:r>
      <w:r w:rsidR="00802DCB" w:rsidRPr="00802DCB">
        <w:rPr>
          <w:rFonts w:ascii="Arial" w:hAnsi="Arial" w:cs="Arial"/>
          <w:sz w:val="24"/>
          <w:szCs w:val="24"/>
        </w:rPr>
        <w:t>linical care delivery</w:t>
      </w:r>
    </w:p>
    <w:p w14:paraId="043A0243" w14:textId="2A7D2187" w:rsidR="00802DCB" w:rsidRPr="00802DCB" w:rsidRDefault="004453A8" w:rsidP="00802DCB">
      <w:pPr>
        <w:numPr>
          <w:ilvl w:val="0"/>
          <w:numId w:val="6"/>
        </w:numPr>
        <w:spacing w:after="0" w:line="240" w:lineRule="auto"/>
        <w:rPr>
          <w:rFonts w:ascii="Arial" w:hAnsi="Arial" w:cs="Arial"/>
          <w:sz w:val="24"/>
          <w:szCs w:val="24"/>
        </w:rPr>
      </w:pPr>
      <w:r>
        <w:rPr>
          <w:rFonts w:ascii="Arial" w:hAnsi="Arial" w:cs="Arial"/>
          <w:sz w:val="24"/>
          <w:szCs w:val="24"/>
        </w:rPr>
        <w:t>C</w:t>
      </w:r>
      <w:r w:rsidR="00802DCB" w:rsidRPr="00802DCB">
        <w:rPr>
          <w:rFonts w:ascii="Arial" w:hAnsi="Arial" w:cs="Arial"/>
          <w:sz w:val="24"/>
          <w:szCs w:val="24"/>
        </w:rPr>
        <w:t>ommunication and care planning</w:t>
      </w:r>
    </w:p>
    <w:p w14:paraId="40757724" w14:textId="3732118A" w:rsidR="00802DCB" w:rsidRPr="00802DCB" w:rsidRDefault="004453A8" w:rsidP="00802DCB">
      <w:pPr>
        <w:numPr>
          <w:ilvl w:val="0"/>
          <w:numId w:val="6"/>
        </w:numPr>
        <w:spacing w:after="0" w:line="240" w:lineRule="auto"/>
        <w:rPr>
          <w:rFonts w:ascii="Arial" w:hAnsi="Arial" w:cs="Arial"/>
          <w:sz w:val="24"/>
          <w:szCs w:val="24"/>
        </w:rPr>
      </w:pPr>
      <w:r>
        <w:rPr>
          <w:rFonts w:ascii="Arial" w:hAnsi="Arial" w:cs="Arial"/>
          <w:sz w:val="24"/>
          <w:szCs w:val="24"/>
        </w:rPr>
        <w:t>D</w:t>
      </w:r>
      <w:r w:rsidR="00802DCB" w:rsidRPr="00802DCB">
        <w:rPr>
          <w:rFonts w:ascii="Arial" w:hAnsi="Arial" w:cs="Arial"/>
          <w:sz w:val="24"/>
          <w:szCs w:val="24"/>
        </w:rPr>
        <w:t>ischarge discussions within inpatient services</w:t>
      </w:r>
    </w:p>
    <w:p w14:paraId="75687FC2" w14:textId="6B385248" w:rsidR="00802DCB" w:rsidRPr="00802DCB" w:rsidRDefault="004453A8" w:rsidP="00802DCB">
      <w:pPr>
        <w:numPr>
          <w:ilvl w:val="0"/>
          <w:numId w:val="6"/>
        </w:numPr>
        <w:spacing w:after="0" w:line="240" w:lineRule="auto"/>
        <w:rPr>
          <w:rFonts w:ascii="Arial" w:hAnsi="Arial" w:cs="Arial"/>
          <w:sz w:val="24"/>
          <w:szCs w:val="24"/>
        </w:rPr>
      </w:pPr>
      <w:r>
        <w:rPr>
          <w:rFonts w:ascii="Arial" w:hAnsi="Arial" w:cs="Arial"/>
          <w:sz w:val="24"/>
          <w:szCs w:val="24"/>
        </w:rPr>
        <w:t>A</w:t>
      </w:r>
      <w:r w:rsidR="00802DCB" w:rsidRPr="00802DCB">
        <w:rPr>
          <w:rFonts w:ascii="Arial" w:hAnsi="Arial" w:cs="Arial"/>
          <w:sz w:val="24"/>
          <w:szCs w:val="24"/>
        </w:rPr>
        <w:t>ccessibility and dignity within non</w:t>
      </w:r>
      <w:r w:rsidR="00802DCB" w:rsidRPr="00802DCB">
        <w:rPr>
          <w:rFonts w:ascii="Arial" w:hAnsi="Arial" w:cs="Arial"/>
          <w:sz w:val="24"/>
          <w:szCs w:val="24"/>
        </w:rPr>
        <w:noBreakHyphen/>
        <w:t>care services.</w:t>
      </w:r>
    </w:p>
    <w:p w14:paraId="765F54A0" w14:textId="77777777" w:rsidR="00802DCB" w:rsidRDefault="00802DCB" w:rsidP="00802DCB">
      <w:pPr>
        <w:spacing w:after="0" w:line="240" w:lineRule="auto"/>
        <w:rPr>
          <w:rFonts w:ascii="Arial" w:hAnsi="Arial" w:cs="Arial"/>
          <w:sz w:val="24"/>
          <w:szCs w:val="24"/>
        </w:rPr>
      </w:pPr>
    </w:p>
    <w:p w14:paraId="44FA33F5" w14:textId="672E4D7B" w:rsidR="00802DCB" w:rsidRPr="00802DCB" w:rsidRDefault="00802DCB" w:rsidP="00802DCB">
      <w:pPr>
        <w:spacing w:after="0" w:line="240" w:lineRule="auto"/>
        <w:rPr>
          <w:rFonts w:ascii="Arial" w:hAnsi="Arial" w:cs="Arial"/>
          <w:sz w:val="24"/>
          <w:szCs w:val="24"/>
        </w:rPr>
      </w:pPr>
      <w:proofErr w:type="gramStart"/>
      <w:r w:rsidRPr="00802DCB">
        <w:rPr>
          <w:rFonts w:ascii="Arial" w:hAnsi="Arial" w:cs="Arial"/>
          <w:sz w:val="24"/>
          <w:szCs w:val="24"/>
        </w:rPr>
        <w:t>The majority of</w:t>
      </w:r>
      <w:proofErr w:type="gramEnd"/>
      <w:r w:rsidRPr="00802DCB">
        <w:rPr>
          <w:rFonts w:ascii="Arial" w:hAnsi="Arial" w:cs="Arial"/>
          <w:sz w:val="24"/>
          <w:szCs w:val="24"/>
        </w:rPr>
        <w:t xml:space="preserve"> these concerns were resolved through early engagement, explanation and local management, with learning identified and actions taken to improve practice where appropriate.</w:t>
      </w:r>
    </w:p>
    <w:p w14:paraId="2FA2B74A" w14:textId="77777777" w:rsidR="00802DCB" w:rsidRPr="00802DCB" w:rsidRDefault="00802DCB" w:rsidP="00802DCB">
      <w:pPr>
        <w:spacing w:after="0" w:line="240" w:lineRule="auto"/>
        <w:rPr>
          <w:rFonts w:ascii="Arial" w:hAnsi="Arial" w:cs="Arial"/>
          <w:sz w:val="24"/>
          <w:szCs w:val="24"/>
        </w:rPr>
      </w:pPr>
    </w:p>
    <w:p w14:paraId="54AC9649" w14:textId="04BC4EF6" w:rsidR="00802DCB" w:rsidRPr="00802DCB" w:rsidRDefault="00802DCB" w:rsidP="00802DCB">
      <w:pPr>
        <w:spacing w:after="0" w:line="240" w:lineRule="auto"/>
        <w:rPr>
          <w:rFonts w:ascii="Arial" w:hAnsi="Arial" w:cs="Arial"/>
          <w:sz w:val="24"/>
          <w:szCs w:val="24"/>
        </w:rPr>
      </w:pPr>
      <w:r w:rsidRPr="00802DCB">
        <w:rPr>
          <w:rFonts w:ascii="Arial" w:hAnsi="Arial" w:cs="Arial"/>
          <w:b/>
          <w:bCs/>
          <w:sz w:val="24"/>
          <w:szCs w:val="24"/>
        </w:rPr>
        <w:t>Complaints received</w:t>
      </w:r>
      <w:r>
        <w:rPr>
          <w:rFonts w:ascii="Arial" w:hAnsi="Arial" w:cs="Arial"/>
          <w:b/>
          <w:bCs/>
          <w:sz w:val="24"/>
          <w:szCs w:val="24"/>
        </w:rPr>
        <w:t xml:space="preserve">: </w:t>
      </w:r>
      <w:r w:rsidRPr="00802DCB">
        <w:rPr>
          <w:rFonts w:ascii="Arial" w:hAnsi="Arial" w:cs="Arial"/>
          <w:b/>
          <w:bCs/>
          <w:sz w:val="24"/>
          <w:szCs w:val="24"/>
        </w:rPr>
        <w:t>1 January 2026 – 31 March 2026</w:t>
      </w:r>
    </w:p>
    <w:p w14:paraId="7C0E3ED7" w14:textId="14308B37" w:rsidR="00802DCB" w:rsidRPr="00802DCB" w:rsidRDefault="00802DCB" w:rsidP="00802DCB">
      <w:pPr>
        <w:spacing w:after="0" w:line="240" w:lineRule="auto"/>
        <w:rPr>
          <w:rFonts w:ascii="Arial" w:hAnsi="Arial" w:cs="Arial"/>
          <w:sz w:val="24"/>
          <w:szCs w:val="24"/>
        </w:rPr>
      </w:pPr>
      <w:r w:rsidRPr="00802DCB">
        <w:rPr>
          <w:rFonts w:ascii="Arial" w:hAnsi="Arial" w:cs="Arial"/>
          <w:sz w:val="24"/>
          <w:szCs w:val="24"/>
        </w:rPr>
        <w:t xml:space="preserve">From 1 January 2026, </w:t>
      </w:r>
      <w:r>
        <w:rPr>
          <w:rFonts w:ascii="Arial" w:hAnsi="Arial" w:cs="Arial"/>
          <w:sz w:val="24"/>
          <w:szCs w:val="24"/>
        </w:rPr>
        <w:t xml:space="preserve">NIH </w:t>
      </w:r>
      <w:r w:rsidRPr="00802DCB">
        <w:rPr>
          <w:rFonts w:ascii="Arial" w:hAnsi="Arial" w:cs="Arial"/>
          <w:sz w:val="24"/>
          <w:szCs w:val="24"/>
        </w:rPr>
        <w:t>adopted the NIPSO Model Complaints Handling Procedure, which introduces a clear two</w:t>
      </w:r>
      <w:r w:rsidRPr="00802DCB">
        <w:rPr>
          <w:rFonts w:ascii="Arial" w:hAnsi="Arial" w:cs="Arial"/>
          <w:sz w:val="24"/>
          <w:szCs w:val="24"/>
        </w:rPr>
        <w:noBreakHyphen/>
        <w:t>stage process:</w:t>
      </w:r>
    </w:p>
    <w:p w14:paraId="498DB385" w14:textId="77777777" w:rsidR="00802DCB" w:rsidRPr="00413174" w:rsidRDefault="00802DCB" w:rsidP="00802DCB">
      <w:pPr>
        <w:numPr>
          <w:ilvl w:val="0"/>
          <w:numId w:val="3"/>
        </w:numPr>
        <w:spacing w:after="0" w:line="240" w:lineRule="auto"/>
        <w:rPr>
          <w:rFonts w:ascii="Arial" w:hAnsi="Arial" w:cs="Arial"/>
          <w:sz w:val="24"/>
          <w:szCs w:val="24"/>
        </w:rPr>
      </w:pPr>
      <w:r w:rsidRPr="00413174">
        <w:rPr>
          <w:rFonts w:ascii="Arial" w:hAnsi="Arial" w:cs="Arial"/>
          <w:sz w:val="24"/>
          <w:szCs w:val="24"/>
        </w:rPr>
        <w:t>Stage 1 – Early Resolution: complaints that can be resolved quickly, usually at the point of service delivery</w:t>
      </w:r>
    </w:p>
    <w:p w14:paraId="5C2CC111" w14:textId="77777777" w:rsidR="00802DCB" w:rsidRPr="00802DCB" w:rsidRDefault="00802DCB" w:rsidP="00802DCB">
      <w:pPr>
        <w:numPr>
          <w:ilvl w:val="0"/>
          <w:numId w:val="3"/>
        </w:numPr>
        <w:spacing w:after="0" w:line="240" w:lineRule="auto"/>
        <w:rPr>
          <w:rFonts w:ascii="Arial" w:hAnsi="Arial" w:cs="Arial"/>
          <w:sz w:val="24"/>
          <w:szCs w:val="24"/>
        </w:rPr>
      </w:pPr>
      <w:r w:rsidRPr="00413174">
        <w:rPr>
          <w:rFonts w:ascii="Arial" w:hAnsi="Arial" w:cs="Arial"/>
          <w:sz w:val="24"/>
          <w:szCs w:val="24"/>
        </w:rPr>
        <w:t xml:space="preserve">Stage 2 – Investigation: </w:t>
      </w:r>
      <w:r w:rsidRPr="00802DCB">
        <w:rPr>
          <w:rFonts w:ascii="Arial" w:hAnsi="Arial" w:cs="Arial"/>
          <w:sz w:val="24"/>
          <w:szCs w:val="24"/>
        </w:rPr>
        <w:t>complaints requiring more detailed investigation and a formal written response</w:t>
      </w:r>
    </w:p>
    <w:p w14:paraId="312C6340" w14:textId="77777777" w:rsidR="00802DCB" w:rsidRDefault="00802DCB" w:rsidP="00802DCB">
      <w:pPr>
        <w:spacing w:after="0" w:line="240" w:lineRule="auto"/>
        <w:rPr>
          <w:rFonts w:ascii="Arial" w:hAnsi="Arial" w:cs="Arial"/>
          <w:sz w:val="24"/>
          <w:szCs w:val="24"/>
        </w:rPr>
      </w:pPr>
    </w:p>
    <w:p w14:paraId="1E0FA127" w14:textId="77777777" w:rsidR="00CF2047" w:rsidRPr="00CF2047" w:rsidRDefault="00CF2047" w:rsidP="00CF2047">
      <w:pPr>
        <w:spacing w:after="0" w:line="240" w:lineRule="auto"/>
        <w:rPr>
          <w:rFonts w:ascii="Arial" w:hAnsi="Arial" w:cs="Arial"/>
          <w:sz w:val="24"/>
          <w:szCs w:val="24"/>
        </w:rPr>
      </w:pPr>
      <w:r w:rsidRPr="00CF2047">
        <w:rPr>
          <w:rFonts w:ascii="Arial" w:hAnsi="Arial" w:cs="Arial"/>
          <w:sz w:val="24"/>
          <w:szCs w:val="24"/>
        </w:rPr>
        <w:t>During the period 1 January to 31 March 2026, NIH received five (5) complaints:</w:t>
      </w:r>
    </w:p>
    <w:p w14:paraId="58A60A71" w14:textId="77777777" w:rsidR="00CF2047" w:rsidRPr="00CF2047" w:rsidRDefault="00CF2047" w:rsidP="00CF2047">
      <w:pPr>
        <w:numPr>
          <w:ilvl w:val="0"/>
          <w:numId w:val="10"/>
        </w:numPr>
        <w:spacing w:after="0" w:line="240" w:lineRule="auto"/>
        <w:rPr>
          <w:rFonts w:ascii="Arial" w:hAnsi="Arial" w:cs="Arial"/>
          <w:sz w:val="24"/>
          <w:szCs w:val="24"/>
        </w:rPr>
      </w:pPr>
      <w:r w:rsidRPr="00CF2047">
        <w:rPr>
          <w:rFonts w:ascii="Arial" w:hAnsi="Arial" w:cs="Arial"/>
          <w:sz w:val="24"/>
          <w:szCs w:val="24"/>
        </w:rPr>
        <w:t>Stage 1 – Early Resolution: 4</w:t>
      </w:r>
    </w:p>
    <w:p w14:paraId="74EB7082" w14:textId="77777777" w:rsidR="00CF2047" w:rsidRPr="00CF2047" w:rsidRDefault="00CF2047" w:rsidP="00CF2047">
      <w:pPr>
        <w:numPr>
          <w:ilvl w:val="0"/>
          <w:numId w:val="10"/>
        </w:numPr>
        <w:spacing w:after="0" w:line="240" w:lineRule="auto"/>
        <w:rPr>
          <w:rFonts w:ascii="Arial" w:hAnsi="Arial" w:cs="Arial"/>
          <w:sz w:val="24"/>
          <w:szCs w:val="24"/>
        </w:rPr>
      </w:pPr>
      <w:r w:rsidRPr="00CF2047">
        <w:rPr>
          <w:rFonts w:ascii="Arial" w:hAnsi="Arial" w:cs="Arial"/>
          <w:sz w:val="24"/>
          <w:szCs w:val="24"/>
        </w:rPr>
        <w:t>Stage 2 – Investigation: 1</w:t>
      </w:r>
    </w:p>
    <w:p w14:paraId="1391EDE9" w14:textId="77777777" w:rsidR="00802DCB" w:rsidRDefault="00802DCB" w:rsidP="00802DCB">
      <w:pPr>
        <w:spacing w:after="0" w:line="240" w:lineRule="auto"/>
        <w:rPr>
          <w:rFonts w:ascii="Arial" w:hAnsi="Arial" w:cs="Arial"/>
          <w:sz w:val="24"/>
          <w:szCs w:val="24"/>
        </w:rPr>
      </w:pPr>
    </w:p>
    <w:p w14:paraId="35E5362A" w14:textId="77777777" w:rsidR="00A10CF8" w:rsidRPr="00A10CF8" w:rsidRDefault="00A10CF8" w:rsidP="00A10CF8">
      <w:pPr>
        <w:spacing w:after="0" w:line="240" w:lineRule="auto"/>
        <w:rPr>
          <w:rFonts w:ascii="Arial" w:hAnsi="Arial" w:cs="Arial"/>
          <w:sz w:val="24"/>
          <w:szCs w:val="24"/>
        </w:rPr>
      </w:pPr>
      <w:proofErr w:type="gramStart"/>
      <w:r w:rsidRPr="00A10CF8">
        <w:rPr>
          <w:rFonts w:ascii="Arial" w:hAnsi="Arial" w:cs="Arial"/>
          <w:sz w:val="24"/>
          <w:szCs w:val="24"/>
        </w:rPr>
        <w:t>The majority of</w:t>
      </w:r>
      <w:proofErr w:type="gramEnd"/>
      <w:r w:rsidRPr="00A10CF8">
        <w:rPr>
          <w:rFonts w:ascii="Arial" w:hAnsi="Arial" w:cs="Arial"/>
          <w:sz w:val="24"/>
          <w:szCs w:val="24"/>
        </w:rPr>
        <w:t xml:space="preserve"> complaints were resolved at Stage 1, reflecting a focus on early resolution. One complaint required Stage 2 investigation due to its complexity.</w:t>
      </w:r>
    </w:p>
    <w:p w14:paraId="731C6747" w14:textId="77777777" w:rsidR="00802DCB" w:rsidRPr="00802DCB" w:rsidRDefault="00802DCB" w:rsidP="00802DCB">
      <w:pPr>
        <w:spacing w:after="0" w:line="240" w:lineRule="auto"/>
        <w:rPr>
          <w:rFonts w:ascii="Arial" w:hAnsi="Arial" w:cs="Arial"/>
          <w:sz w:val="24"/>
          <w:szCs w:val="24"/>
        </w:rPr>
      </w:pPr>
    </w:p>
    <w:p w14:paraId="43245CFC" w14:textId="77777777" w:rsidR="00802DCB" w:rsidRPr="00802DCB" w:rsidRDefault="00802DCB" w:rsidP="00802DCB">
      <w:pPr>
        <w:spacing w:after="0" w:line="240" w:lineRule="auto"/>
        <w:rPr>
          <w:rFonts w:ascii="Arial" w:hAnsi="Arial" w:cs="Arial"/>
          <w:b/>
          <w:bCs/>
          <w:sz w:val="24"/>
          <w:szCs w:val="24"/>
        </w:rPr>
      </w:pPr>
      <w:r w:rsidRPr="00802DCB">
        <w:rPr>
          <w:rFonts w:ascii="Arial" w:hAnsi="Arial" w:cs="Arial"/>
          <w:b/>
          <w:bCs/>
          <w:sz w:val="24"/>
          <w:szCs w:val="24"/>
        </w:rPr>
        <w:t>Learning and improvement</w:t>
      </w:r>
    </w:p>
    <w:p w14:paraId="650FFAA0" w14:textId="7E5A5B0D" w:rsidR="00802DCB" w:rsidRPr="00802DCB" w:rsidRDefault="00802DCB" w:rsidP="00802DCB">
      <w:pPr>
        <w:spacing w:after="0" w:line="240" w:lineRule="auto"/>
        <w:rPr>
          <w:rFonts w:ascii="Arial" w:hAnsi="Arial" w:cs="Arial"/>
          <w:sz w:val="24"/>
          <w:szCs w:val="24"/>
        </w:rPr>
      </w:pPr>
      <w:r w:rsidRPr="00802DCB">
        <w:rPr>
          <w:rFonts w:ascii="Arial" w:hAnsi="Arial" w:cs="Arial"/>
          <w:sz w:val="24"/>
          <w:szCs w:val="24"/>
        </w:rPr>
        <w:t xml:space="preserve">Learning from complaints received during the year has contributed to a range of improvements across the </w:t>
      </w:r>
      <w:r w:rsidR="004709EB">
        <w:rPr>
          <w:rFonts w:ascii="Arial" w:hAnsi="Arial" w:cs="Arial"/>
          <w:sz w:val="24"/>
          <w:szCs w:val="24"/>
        </w:rPr>
        <w:t>Charity</w:t>
      </w:r>
      <w:r w:rsidRPr="00802DCB">
        <w:rPr>
          <w:rFonts w:ascii="Arial" w:hAnsi="Arial" w:cs="Arial"/>
          <w:sz w:val="24"/>
          <w:szCs w:val="24"/>
        </w:rPr>
        <w:t>, including:</w:t>
      </w:r>
    </w:p>
    <w:p w14:paraId="310EA61D" w14:textId="7304F5C6" w:rsidR="00802DCB" w:rsidRPr="00802DCB" w:rsidRDefault="00F21C6D" w:rsidP="00802DCB">
      <w:pPr>
        <w:numPr>
          <w:ilvl w:val="0"/>
          <w:numId w:val="4"/>
        </w:numPr>
        <w:spacing w:after="0" w:line="240" w:lineRule="auto"/>
        <w:rPr>
          <w:rFonts w:ascii="Arial" w:hAnsi="Arial" w:cs="Arial"/>
          <w:sz w:val="24"/>
          <w:szCs w:val="24"/>
        </w:rPr>
      </w:pPr>
      <w:r>
        <w:rPr>
          <w:rFonts w:ascii="Arial" w:hAnsi="Arial" w:cs="Arial"/>
          <w:sz w:val="24"/>
          <w:szCs w:val="24"/>
        </w:rPr>
        <w:lastRenderedPageBreak/>
        <w:t>S</w:t>
      </w:r>
      <w:r w:rsidR="00802DCB" w:rsidRPr="00802DCB">
        <w:rPr>
          <w:rFonts w:ascii="Arial" w:hAnsi="Arial" w:cs="Arial"/>
          <w:sz w:val="24"/>
          <w:szCs w:val="24"/>
        </w:rPr>
        <w:t>trengthening communication with service users and families</w:t>
      </w:r>
      <w:r>
        <w:rPr>
          <w:rFonts w:ascii="Arial" w:hAnsi="Arial" w:cs="Arial"/>
          <w:sz w:val="24"/>
          <w:szCs w:val="24"/>
        </w:rPr>
        <w:t>.</w:t>
      </w:r>
    </w:p>
    <w:p w14:paraId="1A078625" w14:textId="0FF15958" w:rsidR="00802DCB" w:rsidRPr="00802DCB" w:rsidRDefault="00F21C6D" w:rsidP="00802DCB">
      <w:pPr>
        <w:numPr>
          <w:ilvl w:val="0"/>
          <w:numId w:val="4"/>
        </w:numPr>
        <w:spacing w:after="0" w:line="240" w:lineRule="auto"/>
        <w:rPr>
          <w:rFonts w:ascii="Arial" w:hAnsi="Arial" w:cs="Arial"/>
          <w:sz w:val="24"/>
          <w:szCs w:val="24"/>
        </w:rPr>
      </w:pPr>
      <w:r>
        <w:rPr>
          <w:rFonts w:ascii="Arial" w:hAnsi="Arial" w:cs="Arial"/>
          <w:sz w:val="24"/>
          <w:szCs w:val="24"/>
        </w:rPr>
        <w:t>C</w:t>
      </w:r>
      <w:r w:rsidR="00802DCB" w:rsidRPr="00802DCB">
        <w:rPr>
          <w:rFonts w:ascii="Arial" w:hAnsi="Arial" w:cs="Arial"/>
          <w:sz w:val="24"/>
          <w:szCs w:val="24"/>
        </w:rPr>
        <w:t>larifying care planning and discharge discussions within inpatient settings</w:t>
      </w:r>
      <w:r>
        <w:rPr>
          <w:rFonts w:ascii="Arial" w:hAnsi="Arial" w:cs="Arial"/>
          <w:sz w:val="24"/>
          <w:szCs w:val="24"/>
        </w:rPr>
        <w:t>.</w:t>
      </w:r>
    </w:p>
    <w:p w14:paraId="2DB20A97" w14:textId="6922B447" w:rsidR="00802DCB" w:rsidRPr="00802DCB" w:rsidRDefault="00F21C6D" w:rsidP="00802DCB">
      <w:pPr>
        <w:numPr>
          <w:ilvl w:val="0"/>
          <w:numId w:val="4"/>
        </w:numPr>
        <w:spacing w:after="0" w:line="240" w:lineRule="auto"/>
        <w:rPr>
          <w:rFonts w:ascii="Arial" w:hAnsi="Arial" w:cs="Arial"/>
          <w:sz w:val="24"/>
          <w:szCs w:val="24"/>
        </w:rPr>
      </w:pPr>
      <w:r>
        <w:rPr>
          <w:rFonts w:ascii="Arial" w:hAnsi="Arial" w:cs="Arial"/>
          <w:sz w:val="24"/>
          <w:szCs w:val="24"/>
        </w:rPr>
        <w:t>I</w:t>
      </w:r>
      <w:r w:rsidR="00802DCB" w:rsidRPr="00802DCB">
        <w:rPr>
          <w:rFonts w:ascii="Arial" w:hAnsi="Arial" w:cs="Arial"/>
          <w:sz w:val="24"/>
          <w:szCs w:val="24"/>
        </w:rPr>
        <w:t>mproving accessibility and dignity in public</w:t>
      </w:r>
      <w:r w:rsidR="00802DCB" w:rsidRPr="00802DCB">
        <w:rPr>
          <w:rFonts w:ascii="Arial" w:hAnsi="Arial" w:cs="Arial"/>
          <w:sz w:val="24"/>
          <w:szCs w:val="24"/>
        </w:rPr>
        <w:noBreakHyphen/>
        <w:t>facing services</w:t>
      </w:r>
      <w:r>
        <w:rPr>
          <w:rFonts w:ascii="Arial" w:hAnsi="Arial" w:cs="Arial"/>
          <w:sz w:val="24"/>
          <w:szCs w:val="24"/>
        </w:rPr>
        <w:t>.</w:t>
      </w:r>
    </w:p>
    <w:p w14:paraId="222C6172" w14:textId="68DA18F1" w:rsidR="00802DCB" w:rsidRPr="00802DCB" w:rsidRDefault="00F21C6D" w:rsidP="00802DCB">
      <w:pPr>
        <w:pStyle w:val="ListParagraph"/>
        <w:numPr>
          <w:ilvl w:val="0"/>
          <w:numId w:val="4"/>
        </w:numPr>
        <w:spacing w:after="0" w:line="300" w:lineRule="atLeast"/>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E</w:t>
      </w:r>
      <w:r w:rsidR="00802DCB" w:rsidRPr="00802DCB">
        <w:rPr>
          <w:rFonts w:ascii="Arial" w:eastAsia="Times New Roman" w:hAnsi="Arial" w:cs="Arial"/>
          <w:kern w:val="0"/>
          <w:sz w:val="24"/>
          <w:szCs w:val="24"/>
          <w:lang w:eastAsia="en-GB"/>
          <w14:ligatures w14:val="none"/>
        </w:rPr>
        <w:t>nhanced staff understanding of complaints handling through the introduction of a revised Complaints Management Policy and associated training.</w:t>
      </w:r>
    </w:p>
    <w:p w14:paraId="1CB285FA" w14:textId="77777777" w:rsidR="00802DCB" w:rsidRDefault="00802DCB" w:rsidP="00802DCB">
      <w:pPr>
        <w:spacing w:after="0" w:line="240" w:lineRule="auto"/>
        <w:rPr>
          <w:rFonts w:ascii="Arial" w:hAnsi="Arial" w:cs="Arial"/>
          <w:sz w:val="24"/>
          <w:szCs w:val="24"/>
        </w:rPr>
      </w:pPr>
    </w:p>
    <w:p w14:paraId="60966DAD" w14:textId="77777777" w:rsidR="00802DCB" w:rsidRPr="00802DCB" w:rsidRDefault="00802DCB" w:rsidP="00802DCB">
      <w:pPr>
        <w:spacing w:after="0" w:line="240" w:lineRule="auto"/>
        <w:rPr>
          <w:rFonts w:ascii="Arial" w:hAnsi="Arial" w:cs="Arial"/>
          <w:b/>
          <w:bCs/>
          <w:sz w:val="24"/>
          <w:szCs w:val="24"/>
        </w:rPr>
      </w:pPr>
      <w:r w:rsidRPr="00802DCB">
        <w:rPr>
          <w:rFonts w:ascii="Arial" w:hAnsi="Arial" w:cs="Arial"/>
          <w:b/>
          <w:bCs/>
          <w:sz w:val="24"/>
          <w:szCs w:val="24"/>
        </w:rPr>
        <w:t>Commitment to openness and improvement</w:t>
      </w:r>
    </w:p>
    <w:p w14:paraId="05FA7485" w14:textId="7785D20F" w:rsidR="00802DCB" w:rsidRDefault="00802DCB" w:rsidP="00802DCB">
      <w:pPr>
        <w:spacing w:after="0" w:line="240" w:lineRule="auto"/>
        <w:rPr>
          <w:rFonts w:ascii="Arial" w:hAnsi="Arial" w:cs="Arial"/>
          <w:sz w:val="24"/>
          <w:szCs w:val="24"/>
        </w:rPr>
      </w:pPr>
      <w:r>
        <w:rPr>
          <w:rFonts w:ascii="Arial" w:hAnsi="Arial" w:cs="Arial"/>
          <w:sz w:val="24"/>
          <w:szCs w:val="24"/>
        </w:rPr>
        <w:t>NIH</w:t>
      </w:r>
      <w:r w:rsidRPr="00802DCB">
        <w:rPr>
          <w:rFonts w:ascii="Arial" w:hAnsi="Arial" w:cs="Arial"/>
          <w:sz w:val="24"/>
          <w:szCs w:val="24"/>
        </w:rPr>
        <w:t xml:space="preserve"> is committed to handling complaints fairly, promptly and with compassion. Feedback is reviewed regularly to identify themes, learning and opportunities for improvement. Complaints handling and associated learning are overseen through the </w:t>
      </w:r>
      <w:r w:rsidR="00BF200A">
        <w:rPr>
          <w:rFonts w:ascii="Arial" w:hAnsi="Arial" w:cs="Arial"/>
          <w:sz w:val="24"/>
          <w:szCs w:val="24"/>
        </w:rPr>
        <w:t>C</w:t>
      </w:r>
      <w:r w:rsidR="00581D82">
        <w:rPr>
          <w:rFonts w:ascii="Arial" w:hAnsi="Arial" w:cs="Arial"/>
          <w:sz w:val="24"/>
          <w:szCs w:val="24"/>
        </w:rPr>
        <w:t>harity</w:t>
      </w:r>
      <w:r w:rsidRPr="00802DCB">
        <w:rPr>
          <w:rFonts w:ascii="Arial" w:hAnsi="Arial" w:cs="Arial"/>
          <w:sz w:val="24"/>
          <w:szCs w:val="24"/>
        </w:rPr>
        <w:t>’s governance arrangements to support ongoing quality improvement and public trust.</w:t>
      </w:r>
    </w:p>
    <w:p w14:paraId="01080055" w14:textId="77777777" w:rsidR="00802DCB" w:rsidRPr="00802DCB" w:rsidRDefault="00802DCB" w:rsidP="00802DCB">
      <w:pPr>
        <w:spacing w:after="0" w:line="240" w:lineRule="auto"/>
        <w:rPr>
          <w:rFonts w:ascii="Arial" w:hAnsi="Arial" w:cs="Arial"/>
          <w:sz w:val="24"/>
          <w:szCs w:val="24"/>
        </w:rPr>
      </w:pPr>
    </w:p>
    <w:p w14:paraId="18412D19" w14:textId="77777777" w:rsidR="00286D07" w:rsidRDefault="00286D07" w:rsidP="00802DCB">
      <w:pPr>
        <w:spacing w:after="0" w:line="240" w:lineRule="auto"/>
      </w:pPr>
    </w:p>
    <w:sectPr w:rsidR="00286D07" w:rsidSect="00E64829">
      <w:headerReference w:type="even" r:id="rId10"/>
      <w:headerReference w:type="default" r:id="rId11"/>
      <w:footerReference w:type="even" r:id="rId12"/>
      <w:footerReference w:type="default" r:id="rId13"/>
      <w:headerReference w:type="first" r:id="rId14"/>
      <w:footerReference w:type="first" r:id="rId15"/>
      <w:pgSz w:w="11906" w:h="16838" w:code="9"/>
      <w:pgMar w:top="567" w:right="1440" w:bottom="567"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4F5A" w14:textId="77777777" w:rsidR="00C54A15" w:rsidRDefault="00C54A15" w:rsidP="00522720">
      <w:pPr>
        <w:spacing w:after="0" w:line="240" w:lineRule="auto"/>
      </w:pPr>
      <w:r>
        <w:separator/>
      </w:r>
    </w:p>
  </w:endnote>
  <w:endnote w:type="continuationSeparator" w:id="0">
    <w:p w14:paraId="67316973" w14:textId="77777777" w:rsidR="00C54A15" w:rsidRDefault="00C54A15" w:rsidP="0052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4E09" w14:textId="77777777" w:rsidR="00522720" w:rsidRDefault="00522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CAF8" w14:textId="77777777" w:rsidR="00522720" w:rsidRDefault="00522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2385" w14:textId="77777777" w:rsidR="00522720" w:rsidRDefault="0052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C996" w14:textId="77777777" w:rsidR="00C54A15" w:rsidRDefault="00C54A15" w:rsidP="00522720">
      <w:pPr>
        <w:spacing w:after="0" w:line="240" w:lineRule="auto"/>
      </w:pPr>
      <w:r>
        <w:separator/>
      </w:r>
    </w:p>
  </w:footnote>
  <w:footnote w:type="continuationSeparator" w:id="0">
    <w:p w14:paraId="616B6F72" w14:textId="77777777" w:rsidR="00C54A15" w:rsidRDefault="00C54A15" w:rsidP="00522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C76E" w14:textId="77777777" w:rsidR="00522720" w:rsidRDefault="00522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64A8" w14:textId="31867B9E" w:rsidR="00522720" w:rsidRDefault="00522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07DB" w14:textId="77777777" w:rsidR="00522720" w:rsidRDefault="00522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A43"/>
    <w:multiLevelType w:val="multilevel"/>
    <w:tmpl w:val="A650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74B99"/>
    <w:multiLevelType w:val="multilevel"/>
    <w:tmpl w:val="DBC2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F7FFA"/>
    <w:multiLevelType w:val="multilevel"/>
    <w:tmpl w:val="F17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17A42"/>
    <w:multiLevelType w:val="multilevel"/>
    <w:tmpl w:val="34A6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E7ABC"/>
    <w:multiLevelType w:val="multilevel"/>
    <w:tmpl w:val="A2C0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20D4C"/>
    <w:multiLevelType w:val="multilevel"/>
    <w:tmpl w:val="9104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C3EFE"/>
    <w:multiLevelType w:val="multilevel"/>
    <w:tmpl w:val="9FF2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5461AB"/>
    <w:multiLevelType w:val="multilevel"/>
    <w:tmpl w:val="741E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20AEA"/>
    <w:multiLevelType w:val="multilevel"/>
    <w:tmpl w:val="CFF4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55497F"/>
    <w:multiLevelType w:val="multilevel"/>
    <w:tmpl w:val="C62E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430063">
    <w:abstractNumId w:val="6"/>
  </w:num>
  <w:num w:numId="2" w16cid:durableId="381826048">
    <w:abstractNumId w:val="8"/>
  </w:num>
  <w:num w:numId="3" w16cid:durableId="595016271">
    <w:abstractNumId w:val="2"/>
  </w:num>
  <w:num w:numId="4" w16cid:durableId="1543055438">
    <w:abstractNumId w:val="5"/>
  </w:num>
  <w:num w:numId="5" w16cid:durableId="402028399">
    <w:abstractNumId w:val="1"/>
  </w:num>
  <w:num w:numId="6" w16cid:durableId="1113130045">
    <w:abstractNumId w:val="3"/>
  </w:num>
  <w:num w:numId="7" w16cid:durableId="880633151">
    <w:abstractNumId w:val="4"/>
  </w:num>
  <w:num w:numId="8" w16cid:durableId="823006778">
    <w:abstractNumId w:val="9"/>
  </w:num>
  <w:num w:numId="9" w16cid:durableId="1567455111">
    <w:abstractNumId w:val="0"/>
  </w:num>
  <w:num w:numId="10" w16cid:durableId="111112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CB"/>
    <w:rsid w:val="001268E4"/>
    <w:rsid w:val="00286D07"/>
    <w:rsid w:val="003B2045"/>
    <w:rsid w:val="00413174"/>
    <w:rsid w:val="004453A8"/>
    <w:rsid w:val="004709EB"/>
    <w:rsid w:val="00522720"/>
    <w:rsid w:val="00581D82"/>
    <w:rsid w:val="005B30BE"/>
    <w:rsid w:val="007719B7"/>
    <w:rsid w:val="00802DCB"/>
    <w:rsid w:val="008E26D5"/>
    <w:rsid w:val="00A10CF8"/>
    <w:rsid w:val="00B131F4"/>
    <w:rsid w:val="00B47A6C"/>
    <w:rsid w:val="00B84E03"/>
    <w:rsid w:val="00BF200A"/>
    <w:rsid w:val="00C54A15"/>
    <w:rsid w:val="00CF2047"/>
    <w:rsid w:val="00E13458"/>
    <w:rsid w:val="00E64829"/>
    <w:rsid w:val="00ED6FAD"/>
    <w:rsid w:val="00EE6FC4"/>
    <w:rsid w:val="00F21C6D"/>
    <w:rsid w:val="00F50453"/>
    <w:rsid w:val="00F97091"/>
    <w:rsid w:val="00FD6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F0CF"/>
  <w15:chartTrackingRefBased/>
  <w15:docId w15:val="{62DFF2D6-A732-45A8-8296-B9404B1F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D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02D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02DC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02DC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02DC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02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DC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02DC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02DC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02DC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02DC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02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DCB"/>
    <w:rPr>
      <w:rFonts w:eastAsiaTheme="majorEastAsia" w:cstheme="majorBidi"/>
      <w:color w:val="272727" w:themeColor="text1" w:themeTint="D8"/>
    </w:rPr>
  </w:style>
  <w:style w:type="paragraph" w:styleId="Title">
    <w:name w:val="Title"/>
    <w:basedOn w:val="Normal"/>
    <w:next w:val="Normal"/>
    <w:link w:val="TitleChar"/>
    <w:uiPriority w:val="10"/>
    <w:qFormat/>
    <w:rsid w:val="00802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DCB"/>
    <w:pPr>
      <w:spacing w:before="160"/>
      <w:jc w:val="center"/>
    </w:pPr>
    <w:rPr>
      <w:i/>
      <w:iCs/>
      <w:color w:val="404040" w:themeColor="text1" w:themeTint="BF"/>
    </w:rPr>
  </w:style>
  <w:style w:type="character" w:customStyle="1" w:styleId="QuoteChar">
    <w:name w:val="Quote Char"/>
    <w:basedOn w:val="DefaultParagraphFont"/>
    <w:link w:val="Quote"/>
    <w:uiPriority w:val="29"/>
    <w:rsid w:val="00802DCB"/>
    <w:rPr>
      <w:i/>
      <w:iCs/>
      <w:color w:val="404040" w:themeColor="text1" w:themeTint="BF"/>
    </w:rPr>
  </w:style>
  <w:style w:type="paragraph" w:styleId="ListParagraph">
    <w:name w:val="List Paragraph"/>
    <w:basedOn w:val="Normal"/>
    <w:uiPriority w:val="34"/>
    <w:qFormat/>
    <w:rsid w:val="00802DCB"/>
    <w:pPr>
      <w:ind w:left="720"/>
      <w:contextualSpacing/>
    </w:pPr>
  </w:style>
  <w:style w:type="character" w:styleId="IntenseEmphasis">
    <w:name w:val="Intense Emphasis"/>
    <w:basedOn w:val="DefaultParagraphFont"/>
    <w:uiPriority w:val="21"/>
    <w:qFormat/>
    <w:rsid w:val="00802DCB"/>
    <w:rPr>
      <w:i/>
      <w:iCs/>
      <w:color w:val="2E74B5" w:themeColor="accent1" w:themeShade="BF"/>
    </w:rPr>
  </w:style>
  <w:style w:type="paragraph" w:styleId="IntenseQuote">
    <w:name w:val="Intense Quote"/>
    <w:basedOn w:val="Normal"/>
    <w:next w:val="Normal"/>
    <w:link w:val="IntenseQuoteChar"/>
    <w:uiPriority w:val="30"/>
    <w:qFormat/>
    <w:rsid w:val="00802D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02DCB"/>
    <w:rPr>
      <w:i/>
      <w:iCs/>
      <w:color w:val="2E74B5" w:themeColor="accent1" w:themeShade="BF"/>
    </w:rPr>
  </w:style>
  <w:style w:type="character" w:styleId="IntenseReference">
    <w:name w:val="Intense Reference"/>
    <w:basedOn w:val="DefaultParagraphFont"/>
    <w:uiPriority w:val="32"/>
    <w:qFormat/>
    <w:rsid w:val="00802DCB"/>
    <w:rPr>
      <w:b/>
      <w:bCs/>
      <w:smallCaps/>
      <w:color w:val="2E74B5" w:themeColor="accent1" w:themeShade="BF"/>
      <w:spacing w:val="5"/>
    </w:rPr>
  </w:style>
  <w:style w:type="paragraph" w:styleId="Header">
    <w:name w:val="header"/>
    <w:basedOn w:val="Normal"/>
    <w:link w:val="HeaderChar"/>
    <w:uiPriority w:val="99"/>
    <w:unhideWhenUsed/>
    <w:rsid w:val="00522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720"/>
  </w:style>
  <w:style w:type="paragraph" w:styleId="Footer">
    <w:name w:val="footer"/>
    <w:basedOn w:val="Normal"/>
    <w:link w:val="FooterChar"/>
    <w:uiPriority w:val="99"/>
    <w:unhideWhenUsed/>
    <w:rsid w:val="00522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9277">
      <w:bodyDiv w:val="1"/>
      <w:marLeft w:val="0"/>
      <w:marRight w:val="0"/>
      <w:marTop w:val="0"/>
      <w:marBottom w:val="0"/>
      <w:divBdr>
        <w:top w:val="none" w:sz="0" w:space="0" w:color="auto"/>
        <w:left w:val="none" w:sz="0" w:space="0" w:color="auto"/>
        <w:bottom w:val="none" w:sz="0" w:space="0" w:color="auto"/>
        <w:right w:val="none" w:sz="0" w:space="0" w:color="auto"/>
      </w:divBdr>
      <w:divsChild>
        <w:div w:id="1228371082">
          <w:marLeft w:val="0"/>
          <w:marRight w:val="0"/>
          <w:marTop w:val="0"/>
          <w:marBottom w:val="0"/>
          <w:divBdr>
            <w:top w:val="none" w:sz="0" w:space="0" w:color="auto"/>
            <w:left w:val="none" w:sz="0" w:space="0" w:color="auto"/>
            <w:bottom w:val="none" w:sz="0" w:space="0" w:color="auto"/>
            <w:right w:val="none" w:sz="0" w:space="0" w:color="auto"/>
          </w:divBdr>
        </w:div>
      </w:divsChild>
    </w:div>
    <w:div w:id="335424102">
      <w:bodyDiv w:val="1"/>
      <w:marLeft w:val="0"/>
      <w:marRight w:val="0"/>
      <w:marTop w:val="0"/>
      <w:marBottom w:val="0"/>
      <w:divBdr>
        <w:top w:val="none" w:sz="0" w:space="0" w:color="auto"/>
        <w:left w:val="none" w:sz="0" w:space="0" w:color="auto"/>
        <w:bottom w:val="none" w:sz="0" w:space="0" w:color="auto"/>
        <w:right w:val="none" w:sz="0" w:space="0" w:color="auto"/>
      </w:divBdr>
      <w:divsChild>
        <w:div w:id="1095831283">
          <w:marLeft w:val="0"/>
          <w:marRight w:val="0"/>
          <w:marTop w:val="0"/>
          <w:marBottom w:val="0"/>
          <w:divBdr>
            <w:top w:val="none" w:sz="0" w:space="0" w:color="auto"/>
            <w:left w:val="none" w:sz="0" w:space="0" w:color="auto"/>
            <w:bottom w:val="none" w:sz="0" w:space="0" w:color="auto"/>
            <w:right w:val="none" w:sz="0" w:space="0" w:color="auto"/>
          </w:divBdr>
        </w:div>
      </w:divsChild>
    </w:div>
    <w:div w:id="358050701">
      <w:bodyDiv w:val="1"/>
      <w:marLeft w:val="0"/>
      <w:marRight w:val="0"/>
      <w:marTop w:val="0"/>
      <w:marBottom w:val="0"/>
      <w:divBdr>
        <w:top w:val="none" w:sz="0" w:space="0" w:color="auto"/>
        <w:left w:val="none" w:sz="0" w:space="0" w:color="auto"/>
        <w:bottom w:val="none" w:sz="0" w:space="0" w:color="auto"/>
        <w:right w:val="none" w:sz="0" w:space="0" w:color="auto"/>
      </w:divBdr>
      <w:divsChild>
        <w:div w:id="1956208444">
          <w:marLeft w:val="0"/>
          <w:marRight w:val="0"/>
          <w:marTop w:val="0"/>
          <w:marBottom w:val="0"/>
          <w:divBdr>
            <w:top w:val="none" w:sz="0" w:space="0" w:color="auto"/>
            <w:left w:val="none" w:sz="0" w:space="0" w:color="auto"/>
            <w:bottom w:val="none" w:sz="0" w:space="0" w:color="auto"/>
            <w:right w:val="none" w:sz="0" w:space="0" w:color="auto"/>
          </w:divBdr>
        </w:div>
      </w:divsChild>
    </w:div>
    <w:div w:id="379549975">
      <w:bodyDiv w:val="1"/>
      <w:marLeft w:val="0"/>
      <w:marRight w:val="0"/>
      <w:marTop w:val="0"/>
      <w:marBottom w:val="0"/>
      <w:divBdr>
        <w:top w:val="none" w:sz="0" w:space="0" w:color="auto"/>
        <w:left w:val="none" w:sz="0" w:space="0" w:color="auto"/>
        <w:bottom w:val="none" w:sz="0" w:space="0" w:color="auto"/>
        <w:right w:val="none" w:sz="0" w:space="0" w:color="auto"/>
      </w:divBdr>
      <w:divsChild>
        <w:div w:id="1262177306">
          <w:marLeft w:val="0"/>
          <w:marRight w:val="0"/>
          <w:marTop w:val="0"/>
          <w:marBottom w:val="0"/>
          <w:divBdr>
            <w:top w:val="none" w:sz="0" w:space="0" w:color="auto"/>
            <w:left w:val="none" w:sz="0" w:space="0" w:color="auto"/>
            <w:bottom w:val="none" w:sz="0" w:space="0" w:color="auto"/>
            <w:right w:val="none" w:sz="0" w:space="0" w:color="auto"/>
          </w:divBdr>
        </w:div>
      </w:divsChild>
    </w:div>
    <w:div w:id="597523844">
      <w:bodyDiv w:val="1"/>
      <w:marLeft w:val="0"/>
      <w:marRight w:val="0"/>
      <w:marTop w:val="0"/>
      <w:marBottom w:val="0"/>
      <w:divBdr>
        <w:top w:val="none" w:sz="0" w:space="0" w:color="auto"/>
        <w:left w:val="none" w:sz="0" w:space="0" w:color="auto"/>
        <w:bottom w:val="none" w:sz="0" w:space="0" w:color="auto"/>
        <w:right w:val="none" w:sz="0" w:space="0" w:color="auto"/>
      </w:divBdr>
      <w:divsChild>
        <w:div w:id="72240855">
          <w:marLeft w:val="0"/>
          <w:marRight w:val="0"/>
          <w:marTop w:val="0"/>
          <w:marBottom w:val="0"/>
          <w:divBdr>
            <w:top w:val="none" w:sz="0" w:space="0" w:color="auto"/>
            <w:left w:val="none" w:sz="0" w:space="0" w:color="auto"/>
            <w:bottom w:val="none" w:sz="0" w:space="0" w:color="auto"/>
            <w:right w:val="none" w:sz="0" w:space="0" w:color="auto"/>
          </w:divBdr>
        </w:div>
      </w:divsChild>
    </w:div>
    <w:div w:id="663242086">
      <w:bodyDiv w:val="1"/>
      <w:marLeft w:val="0"/>
      <w:marRight w:val="0"/>
      <w:marTop w:val="0"/>
      <w:marBottom w:val="0"/>
      <w:divBdr>
        <w:top w:val="none" w:sz="0" w:space="0" w:color="auto"/>
        <w:left w:val="none" w:sz="0" w:space="0" w:color="auto"/>
        <w:bottom w:val="none" w:sz="0" w:space="0" w:color="auto"/>
        <w:right w:val="none" w:sz="0" w:space="0" w:color="auto"/>
      </w:divBdr>
      <w:divsChild>
        <w:div w:id="1652905928">
          <w:marLeft w:val="0"/>
          <w:marRight w:val="0"/>
          <w:marTop w:val="0"/>
          <w:marBottom w:val="0"/>
          <w:divBdr>
            <w:top w:val="none" w:sz="0" w:space="0" w:color="auto"/>
            <w:left w:val="none" w:sz="0" w:space="0" w:color="auto"/>
            <w:bottom w:val="none" w:sz="0" w:space="0" w:color="auto"/>
            <w:right w:val="none" w:sz="0" w:space="0" w:color="auto"/>
          </w:divBdr>
        </w:div>
      </w:divsChild>
    </w:div>
    <w:div w:id="940377071">
      <w:bodyDiv w:val="1"/>
      <w:marLeft w:val="0"/>
      <w:marRight w:val="0"/>
      <w:marTop w:val="0"/>
      <w:marBottom w:val="0"/>
      <w:divBdr>
        <w:top w:val="none" w:sz="0" w:space="0" w:color="auto"/>
        <w:left w:val="none" w:sz="0" w:space="0" w:color="auto"/>
        <w:bottom w:val="none" w:sz="0" w:space="0" w:color="auto"/>
        <w:right w:val="none" w:sz="0" w:space="0" w:color="auto"/>
      </w:divBdr>
      <w:divsChild>
        <w:div w:id="2107386070">
          <w:marLeft w:val="0"/>
          <w:marRight w:val="0"/>
          <w:marTop w:val="0"/>
          <w:marBottom w:val="0"/>
          <w:divBdr>
            <w:top w:val="none" w:sz="0" w:space="0" w:color="auto"/>
            <w:left w:val="none" w:sz="0" w:space="0" w:color="auto"/>
            <w:bottom w:val="none" w:sz="0" w:space="0" w:color="auto"/>
            <w:right w:val="none" w:sz="0" w:space="0" w:color="auto"/>
          </w:divBdr>
        </w:div>
      </w:divsChild>
    </w:div>
    <w:div w:id="1079712452">
      <w:bodyDiv w:val="1"/>
      <w:marLeft w:val="0"/>
      <w:marRight w:val="0"/>
      <w:marTop w:val="0"/>
      <w:marBottom w:val="0"/>
      <w:divBdr>
        <w:top w:val="none" w:sz="0" w:space="0" w:color="auto"/>
        <w:left w:val="none" w:sz="0" w:space="0" w:color="auto"/>
        <w:bottom w:val="none" w:sz="0" w:space="0" w:color="auto"/>
        <w:right w:val="none" w:sz="0" w:space="0" w:color="auto"/>
      </w:divBdr>
      <w:divsChild>
        <w:div w:id="1011298703">
          <w:marLeft w:val="0"/>
          <w:marRight w:val="0"/>
          <w:marTop w:val="0"/>
          <w:marBottom w:val="0"/>
          <w:divBdr>
            <w:top w:val="none" w:sz="0" w:space="0" w:color="auto"/>
            <w:left w:val="none" w:sz="0" w:space="0" w:color="auto"/>
            <w:bottom w:val="none" w:sz="0" w:space="0" w:color="auto"/>
            <w:right w:val="none" w:sz="0" w:space="0" w:color="auto"/>
          </w:divBdr>
        </w:div>
      </w:divsChild>
    </w:div>
    <w:div w:id="1262253656">
      <w:bodyDiv w:val="1"/>
      <w:marLeft w:val="0"/>
      <w:marRight w:val="0"/>
      <w:marTop w:val="0"/>
      <w:marBottom w:val="0"/>
      <w:divBdr>
        <w:top w:val="none" w:sz="0" w:space="0" w:color="auto"/>
        <w:left w:val="none" w:sz="0" w:space="0" w:color="auto"/>
        <w:bottom w:val="none" w:sz="0" w:space="0" w:color="auto"/>
        <w:right w:val="none" w:sz="0" w:space="0" w:color="auto"/>
      </w:divBdr>
      <w:divsChild>
        <w:div w:id="1897742089">
          <w:marLeft w:val="0"/>
          <w:marRight w:val="0"/>
          <w:marTop w:val="0"/>
          <w:marBottom w:val="0"/>
          <w:divBdr>
            <w:top w:val="none" w:sz="0" w:space="0" w:color="auto"/>
            <w:left w:val="none" w:sz="0" w:space="0" w:color="auto"/>
            <w:bottom w:val="none" w:sz="0" w:space="0" w:color="auto"/>
            <w:right w:val="none" w:sz="0" w:space="0" w:color="auto"/>
          </w:divBdr>
        </w:div>
      </w:divsChild>
    </w:div>
    <w:div w:id="1455102486">
      <w:bodyDiv w:val="1"/>
      <w:marLeft w:val="0"/>
      <w:marRight w:val="0"/>
      <w:marTop w:val="0"/>
      <w:marBottom w:val="0"/>
      <w:divBdr>
        <w:top w:val="none" w:sz="0" w:space="0" w:color="auto"/>
        <w:left w:val="none" w:sz="0" w:space="0" w:color="auto"/>
        <w:bottom w:val="none" w:sz="0" w:space="0" w:color="auto"/>
        <w:right w:val="none" w:sz="0" w:space="0" w:color="auto"/>
      </w:divBdr>
      <w:divsChild>
        <w:div w:id="1111972782">
          <w:marLeft w:val="0"/>
          <w:marRight w:val="0"/>
          <w:marTop w:val="0"/>
          <w:marBottom w:val="0"/>
          <w:divBdr>
            <w:top w:val="none" w:sz="0" w:space="0" w:color="auto"/>
            <w:left w:val="none" w:sz="0" w:space="0" w:color="auto"/>
            <w:bottom w:val="none" w:sz="0" w:space="0" w:color="auto"/>
            <w:right w:val="none" w:sz="0" w:space="0" w:color="auto"/>
          </w:divBdr>
        </w:div>
      </w:divsChild>
    </w:div>
    <w:div w:id="1504275358">
      <w:bodyDiv w:val="1"/>
      <w:marLeft w:val="0"/>
      <w:marRight w:val="0"/>
      <w:marTop w:val="0"/>
      <w:marBottom w:val="0"/>
      <w:divBdr>
        <w:top w:val="none" w:sz="0" w:space="0" w:color="auto"/>
        <w:left w:val="none" w:sz="0" w:space="0" w:color="auto"/>
        <w:bottom w:val="none" w:sz="0" w:space="0" w:color="auto"/>
        <w:right w:val="none" w:sz="0" w:space="0" w:color="auto"/>
      </w:divBdr>
      <w:divsChild>
        <w:div w:id="1643466213">
          <w:marLeft w:val="0"/>
          <w:marRight w:val="0"/>
          <w:marTop w:val="0"/>
          <w:marBottom w:val="0"/>
          <w:divBdr>
            <w:top w:val="none" w:sz="0" w:space="0" w:color="auto"/>
            <w:left w:val="none" w:sz="0" w:space="0" w:color="auto"/>
            <w:bottom w:val="none" w:sz="0" w:space="0" w:color="auto"/>
            <w:right w:val="none" w:sz="0" w:space="0" w:color="auto"/>
          </w:divBdr>
        </w:div>
      </w:divsChild>
    </w:div>
    <w:div w:id="1716201660">
      <w:bodyDiv w:val="1"/>
      <w:marLeft w:val="0"/>
      <w:marRight w:val="0"/>
      <w:marTop w:val="0"/>
      <w:marBottom w:val="0"/>
      <w:divBdr>
        <w:top w:val="none" w:sz="0" w:space="0" w:color="auto"/>
        <w:left w:val="none" w:sz="0" w:space="0" w:color="auto"/>
        <w:bottom w:val="none" w:sz="0" w:space="0" w:color="auto"/>
        <w:right w:val="none" w:sz="0" w:space="0" w:color="auto"/>
      </w:divBdr>
      <w:divsChild>
        <w:div w:id="1353536140">
          <w:marLeft w:val="0"/>
          <w:marRight w:val="0"/>
          <w:marTop w:val="0"/>
          <w:marBottom w:val="0"/>
          <w:divBdr>
            <w:top w:val="none" w:sz="0" w:space="0" w:color="auto"/>
            <w:left w:val="none" w:sz="0" w:space="0" w:color="auto"/>
            <w:bottom w:val="none" w:sz="0" w:space="0" w:color="auto"/>
            <w:right w:val="none" w:sz="0" w:space="0" w:color="auto"/>
          </w:divBdr>
        </w:div>
      </w:divsChild>
    </w:div>
    <w:div w:id="1863401195">
      <w:bodyDiv w:val="1"/>
      <w:marLeft w:val="0"/>
      <w:marRight w:val="0"/>
      <w:marTop w:val="0"/>
      <w:marBottom w:val="0"/>
      <w:divBdr>
        <w:top w:val="none" w:sz="0" w:space="0" w:color="auto"/>
        <w:left w:val="none" w:sz="0" w:space="0" w:color="auto"/>
        <w:bottom w:val="none" w:sz="0" w:space="0" w:color="auto"/>
        <w:right w:val="none" w:sz="0" w:space="0" w:color="auto"/>
      </w:divBdr>
      <w:divsChild>
        <w:div w:id="1342664167">
          <w:marLeft w:val="0"/>
          <w:marRight w:val="0"/>
          <w:marTop w:val="0"/>
          <w:marBottom w:val="0"/>
          <w:divBdr>
            <w:top w:val="none" w:sz="0" w:space="0" w:color="auto"/>
            <w:left w:val="none" w:sz="0" w:space="0" w:color="auto"/>
            <w:bottom w:val="none" w:sz="0" w:space="0" w:color="auto"/>
            <w:right w:val="none" w:sz="0" w:space="0" w:color="auto"/>
          </w:divBdr>
        </w:div>
      </w:divsChild>
    </w:div>
    <w:div w:id="1881896782">
      <w:bodyDiv w:val="1"/>
      <w:marLeft w:val="0"/>
      <w:marRight w:val="0"/>
      <w:marTop w:val="0"/>
      <w:marBottom w:val="0"/>
      <w:divBdr>
        <w:top w:val="none" w:sz="0" w:space="0" w:color="auto"/>
        <w:left w:val="none" w:sz="0" w:space="0" w:color="auto"/>
        <w:bottom w:val="none" w:sz="0" w:space="0" w:color="auto"/>
        <w:right w:val="none" w:sz="0" w:space="0" w:color="auto"/>
      </w:divBdr>
      <w:divsChild>
        <w:div w:id="2094085674">
          <w:marLeft w:val="0"/>
          <w:marRight w:val="0"/>
          <w:marTop w:val="0"/>
          <w:marBottom w:val="0"/>
          <w:divBdr>
            <w:top w:val="none" w:sz="0" w:space="0" w:color="auto"/>
            <w:left w:val="none" w:sz="0" w:space="0" w:color="auto"/>
            <w:bottom w:val="none" w:sz="0" w:space="0" w:color="auto"/>
            <w:right w:val="none" w:sz="0" w:space="0" w:color="auto"/>
          </w:divBdr>
        </w:div>
      </w:divsChild>
    </w:div>
    <w:div w:id="1888685345">
      <w:bodyDiv w:val="1"/>
      <w:marLeft w:val="0"/>
      <w:marRight w:val="0"/>
      <w:marTop w:val="0"/>
      <w:marBottom w:val="0"/>
      <w:divBdr>
        <w:top w:val="none" w:sz="0" w:space="0" w:color="auto"/>
        <w:left w:val="none" w:sz="0" w:space="0" w:color="auto"/>
        <w:bottom w:val="none" w:sz="0" w:space="0" w:color="auto"/>
        <w:right w:val="none" w:sz="0" w:space="0" w:color="auto"/>
      </w:divBdr>
      <w:divsChild>
        <w:div w:id="2008360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556C93AB5BA44A0B2EC64D8FCB509" ma:contentTypeVersion="12" ma:contentTypeDescription="Create a new document." ma:contentTypeScope="" ma:versionID="7ab2367106ef888d8aeeb2b5cd7be80a">
  <xsd:schema xmlns:xsd="http://www.w3.org/2001/XMLSchema" xmlns:xs="http://www.w3.org/2001/XMLSchema" xmlns:p="http://schemas.microsoft.com/office/2006/metadata/properties" xmlns:ns2="3c722419-eeca-4ba9-bd97-51e0ae98958a" xmlns:ns3="aaa8e89b-1714-4523-9725-a073b360006b" targetNamespace="http://schemas.microsoft.com/office/2006/metadata/properties" ma:root="true" ma:fieldsID="ac0a7c959864b56c8b4e864508e1f3e4" ns2:_="" ns3:_="">
    <xsd:import namespace="3c722419-eeca-4ba9-bd97-51e0ae98958a"/>
    <xsd:import namespace="aaa8e89b-1714-4523-9725-a073b36000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22419-eeca-4ba9-bd97-51e0ae989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8cc140-aad1-4840-9f74-48b362ac7f7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8e89b-1714-4523-9725-a073b36000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343ac-9171-4828-925b-b7ce30336379}" ma:internalName="TaxCatchAll" ma:showField="CatchAllData" ma:web="aaa8e89b-1714-4523-9725-a073b3600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722419-eeca-4ba9-bd97-51e0ae98958a">
      <Terms xmlns="http://schemas.microsoft.com/office/infopath/2007/PartnerControls"/>
    </lcf76f155ced4ddcb4097134ff3c332f>
    <TaxCatchAll xmlns="aaa8e89b-1714-4523-9725-a073b36000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A2042-4A71-4EAF-BEB3-503A1775B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22419-eeca-4ba9-bd97-51e0ae98958a"/>
    <ds:schemaRef ds:uri="aaa8e89b-1714-4523-9725-a073b3600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19F96-9E23-4B7B-8785-B586AE48502A}">
  <ds:schemaRefs>
    <ds:schemaRef ds:uri="http://schemas.microsoft.com/office/2006/metadata/properties"/>
    <ds:schemaRef ds:uri="http://schemas.microsoft.com/office/infopath/2007/PartnerControls"/>
    <ds:schemaRef ds:uri="3c722419-eeca-4ba9-bd97-51e0ae98958a"/>
    <ds:schemaRef ds:uri="aaa8e89b-1714-4523-9725-a073b360006b"/>
  </ds:schemaRefs>
</ds:datastoreItem>
</file>

<file path=customXml/itemProps3.xml><?xml version="1.0" encoding="utf-8"?>
<ds:datastoreItem xmlns:ds="http://schemas.openxmlformats.org/officeDocument/2006/customXml" ds:itemID="{642A06EF-E831-469B-AE92-86CE0B9BF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2823</Characters>
  <Application>Microsoft Office Word</Application>
  <DocSecurity>0</DocSecurity>
  <Lines>141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Holland</dc:creator>
  <cp:keywords/>
  <dc:description/>
  <cp:lastModifiedBy>Joan McQuitty</cp:lastModifiedBy>
  <cp:revision>2</cp:revision>
  <dcterms:created xsi:type="dcterms:W3CDTF">2026-06-03T12:33:00Z</dcterms:created>
  <dcterms:modified xsi:type="dcterms:W3CDTF">2026-06-03T12:33:00Z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0x010100BE7556C93AB5BA44A0B2EC64D8FCB509</vt:lpwstr>
  </property>
  <property fmtid="{D5CDD505-2E9C-101B-9397-08002B2CF9AE}" pid="3" name="MediaServiceImageTags">
    <vt:lpwstr/>
  </property>
  <property fmtid="{D5CDD505-2E9C-101B-9397-08002B2CF9AE}" pid="4" name="GrammarlyDocumentId">
    <vt:lpwstr>e2577118-e256-485f-ad2c-7a05fb73d22d</vt:lpwstr>
  </property>
</Properties>
</file>